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CA" w:rsidRDefault="007E2ACA">
      <w:pPr>
        <w:rPr>
          <w:rFonts w:ascii="Arial" w:hAnsi="Arial" w:cs="Arial"/>
          <w:sz w:val="4"/>
          <w:szCs w:val="4"/>
        </w:rPr>
      </w:pPr>
      <w:bookmarkStart w:id="0" w:name="_GoBack"/>
      <w:bookmarkEnd w:id="0"/>
    </w:p>
    <w:p w:rsidR="00B57C30" w:rsidRDefault="00B57C30">
      <w:pPr>
        <w:rPr>
          <w:rFonts w:ascii="Arial" w:hAnsi="Arial" w:cs="Arial"/>
          <w:sz w:val="4"/>
          <w:szCs w:val="4"/>
        </w:rPr>
      </w:pPr>
    </w:p>
    <w:p w:rsidR="00B57C30" w:rsidRPr="00AB5184" w:rsidRDefault="00B57C30">
      <w:pPr>
        <w:rPr>
          <w:rFonts w:ascii="Arial" w:hAnsi="Arial" w:cs="Arial"/>
          <w:sz w:val="4"/>
          <w:szCs w:val="4"/>
        </w:rPr>
      </w:pPr>
    </w:p>
    <w:p w:rsidR="00B57C30" w:rsidRDefault="00B57C30" w:rsidP="00B57C30">
      <w:pPr>
        <w:jc w:val="center"/>
        <w:rPr>
          <w:rFonts w:ascii="Arial" w:hAnsi="Arial" w:cs="Arial"/>
          <w:b/>
        </w:rPr>
      </w:pPr>
      <w:r>
        <w:rPr>
          <w:rFonts w:ascii="Arial" w:hAnsi="Arial" w:cs="Arial"/>
          <w:b/>
        </w:rPr>
        <w:t>Informace pro účastníky výběrového řízení a veřejnost k průběhu aukce</w:t>
      </w:r>
    </w:p>
    <w:p w:rsidR="00B57C30" w:rsidRDefault="00B57C30" w:rsidP="00B57C30">
      <w:pPr>
        <w:rPr>
          <w:rFonts w:ascii="Arial" w:hAnsi="Arial" w:cs="Arial"/>
        </w:rPr>
      </w:pPr>
    </w:p>
    <w:p w:rsidR="00B57C30" w:rsidRDefault="00B57C30" w:rsidP="00B57C30">
      <w:pPr>
        <w:pStyle w:val="Odstavecseseznamem"/>
        <w:numPr>
          <w:ilvl w:val="0"/>
          <w:numId w:val="1"/>
        </w:numPr>
        <w:spacing w:after="0" w:line="240" w:lineRule="auto"/>
        <w:ind w:left="357" w:hanging="357"/>
        <w:jc w:val="both"/>
        <w:rPr>
          <w:rFonts w:ascii="Arial" w:hAnsi="Arial" w:cs="Arial"/>
        </w:rPr>
      </w:pPr>
      <w:r>
        <w:rPr>
          <w:rFonts w:ascii="Arial" w:hAnsi="Arial" w:cs="Arial"/>
        </w:rPr>
        <w:t>Prezence účastníků výběrového řízení (dále jen „VŘ“) bude probíhat od uplynutí termínu pro podání nabídek maximálně po dobu 30 minut. Po uplynutí této doby bude zahájeno otevírání doručených obálek. Účastníku, který se k prezenci dostaví po uplynutí doby určené k prezenci, nebude prezence umožněna. Při prezenci se musí účastník VŘ prokázat:</w:t>
      </w:r>
    </w:p>
    <w:p w:rsidR="00B57C30" w:rsidRDefault="00B57C30" w:rsidP="00B57C30">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fyzickou osobu, musí prokázat svoji totožnost platným průkazem totožnosti, který při prezenci účastníků VŘ předloží k nahlédnutí. Pro účely VŘ se za průkaz totožnosti považuje u občanů České republiky občanský průkaz, pokud mají trvalé bydliště v zahraničí také cestovní pas; u zahraničních fyzických osob pouze cestovní doklad</w:t>
      </w:r>
    </w:p>
    <w:p w:rsidR="00B57C30" w:rsidRDefault="00B57C30" w:rsidP="00B57C30">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právnickou osobu,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oprávnění notářským zápisem nebo písemným čestným prohlášením a současně musí doložit, že se jedná o osobu oprávněnou jednat za účastníka VŘ. Pro případnou účast v aukci je nezbytné, aby se účastník VŘ dostavil v době určené pro prezenci účastníků VŘ, která je uvedena v Oznámení o VŘ.</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obálek s nabídkami předsedající sdělí účastníkům VŘ a veřejnosti jméno a příjmení (název) účastníka VŘ, který splnil všechny vyhlášené podmínky pro podání nabídky ve VŘ (dále jen „podmínky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 xml:space="preserve">Aukce se uskuteční, pokud byly doručeny alespoň 2 a více bezvadné nabídky, které splňují všechny podmínky VŘ. Aukce se koná bezprostředně po skončení procesu otevírání obálek.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čl. 4 Podmínek výběrových řízení na prodej majetku vyhlašovaných Úřadem. Předsedající oznámí účastníky VŘ postupující do aukce. Účast v  aukci je dobrovolná. </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doručených nabídek budou účastníkům, kteří postoupili do aukce a jsou přítomni, přidělena čísla pro jejich účast v aukci. Čísla jsou totožná s pořadím došlých obálek s nabídkami ve VŘ.</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sdělí, že aukce neprobíhá podle zákona č. 26/2000 Sb., o veřejných dražbách, ale podle vyhlášených podmínek výběrového řízení, informuje o minimální nabízené kupní ceně</w:t>
      </w:r>
      <w:r>
        <w:rPr>
          <w:rFonts w:ascii="Arial" w:hAnsi="Arial" w:cs="Arial"/>
          <w:color w:val="00B050"/>
        </w:rPr>
        <w:t xml:space="preserve"> </w:t>
      </w:r>
      <w:r>
        <w:rPr>
          <w:rFonts w:ascii="Arial" w:hAnsi="Arial" w:cs="Arial"/>
        </w:rPr>
        <w:t>pro aukci (kterou je nejvyšší bezvadně</w:t>
      </w:r>
      <w:r>
        <w:rPr>
          <w:rFonts w:ascii="Arial" w:hAnsi="Arial" w:cs="Arial"/>
          <w:color w:val="00B050"/>
        </w:rPr>
        <w:t xml:space="preserve"> </w:t>
      </w:r>
      <w:r>
        <w:rPr>
          <w:rFonts w:ascii="Arial" w:hAnsi="Arial" w:cs="Arial"/>
        </w:rPr>
        <w:t>nabídnutá kupní cena v listinné podobě), o výši minimálního příhozu, o možnosti předsedajícího snižovat minimální příhoz v průběhu aukce. Dále poučí účastníky aukce o způsobu podávání nabídek v této aukci tj. zvednutím přiděleného čísla a na výzvu předsedajícího ústním sdělením nabízené částky, o nemožnosti účastníka aukce podat stejnou nabídku a o nutnosti navýšení předchozí nabídky alespoň o aktuální minimální příhoz. Celý proces otevírání obálek a průběh aukce probíhá v českém jazyce.</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lastRenderedPageBreak/>
        <w:t xml:space="preserve">Pokud není učiněna účastníky aukce žádná nabídka na první výzvu předsedajícího, vyzve předsedající účastníky podruhé k podání nabídky. Pokud na druhou výzvu k podání nabídky, není učiněna účastníky aukce žádná nabídka, vyzve předsedající účastníky potřetí k podání nabídky. Pokud ani na třetí výzvu předsedajícího neučiní žádný z účastníků nabídku, aukce končí. </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je oprávněn snížit výši minimálního příhozu, pokud se k tomu rozhodne, musí tak učinit předtím, než potřetí vyzve účastníky k tomu, aby podali nabídky. Pokud je výše minimálního příhozu snížena, předsedající činí účastníkům aukce první výzvu k podání nabídky. Pokud na první výzvu k podání nabídky není učiněna účastníky aukce žádná nabídka, vyzve předsedající účastníky podruhé k podání nabídky. Pokud ani na třetí výzvu předsedajícího neučiní žádný z účastníků nabídku, aukce končí. Výši minimálního příhozu lze snižovat opakovaně.</w:t>
      </w:r>
    </w:p>
    <w:p w:rsidR="00B57C30" w:rsidRDefault="00B57C30" w:rsidP="00B57C30">
      <w:pPr>
        <w:pStyle w:val="Odstavecseseznamem"/>
        <w:numPr>
          <w:ilvl w:val="0"/>
          <w:numId w:val="1"/>
        </w:numPr>
        <w:spacing w:before="120" w:after="0" w:line="240" w:lineRule="auto"/>
        <w:ind w:left="357" w:hanging="357"/>
        <w:jc w:val="both"/>
        <w:rPr>
          <w:rFonts w:ascii="Arial" w:hAnsi="Arial" w:cs="Arial"/>
        </w:rPr>
      </w:pPr>
      <w:r>
        <w:rPr>
          <w:rFonts w:ascii="Arial" w:hAnsi="Arial" w:cs="Arial"/>
        </w:rPr>
        <w:t>Průběh aukce je zaznamenán v protokolu o výběrovém řízení, který podepíší všichni přítomní členové Komise a licitátor na všech jeho stránkách a účastník aukce, který podal nejvyšší nabídku kupní ceny. Protokol mohou podepsat i ostatní účastníci VŘ, kteří se VŘ zúčastnili až do jeho konce.</w:t>
      </w:r>
    </w:p>
    <w:p w:rsidR="007E2ACA" w:rsidRPr="007E2ACA" w:rsidRDefault="007E2ACA">
      <w:pPr>
        <w:rPr>
          <w:rFonts w:ascii="Arial" w:hAnsi="Arial" w:cs="Arial"/>
          <w:sz w:val="22"/>
          <w:szCs w:val="22"/>
        </w:rPr>
      </w:pPr>
    </w:p>
    <w:sectPr w:rsidR="007E2ACA" w:rsidRPr="007E2ACA" w:rsidSect="00A3294A">
      <w:headerReference w:type="default" r:id="rId7"/>
      <w:footerReference w:type="default" r:id="rId8"/>
      <w:pgSz w:w="11906" w:h="16838"/>
      <w:pgMar w:top="564" w:right="1134" w:bottom="851" w:left="1276"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95" w:rsidRDefault="00673995">
      <w:r>
        <w:separator/>
      </w:r>
    </w:p>
  </w:endnote>
  <w:endnote w:type="continuationSeparator" w:id="0">
    <w:p w:rsidR="00673995" w:rsidRDefault="0067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4A" w:rsidRDefault="00A3294A" w:rsidP="00A3294A">
    <w:pPr>
      <w:pStyle w:val="Zpat"/>
      <w:jc w:val="center"/>
      <w:rPr>
        <w:rFonts w:ascii="Arial" w:hAnsi="Arial" w:cs="Arial"/>
        <w:bCs/>
      </w:rPr>
    </w:pPr>
  </w:p>
  <w:p w:rsidR="00A3294A" w:rsidRDefault="00A3294A" w:rsidP="00A3294A">
    <w:pPr>
      <w:pStyle w:val="Zpat"/>
      <w:jc w:val="center"/>
      <w:rPr>
        <w:rFonts w:ascii="Arial" w:hAnsi="Arial" w:cs="Arial"/>
      </w:rPr>
    </w:pP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CE79AC">
      <w:rPr>
        <w:rFonts w:ascii="Arial" w:hAnsi="Arial" w:cs="Arial"/>
        <w:bCs/>
        <w:noProof/>
      </w:rPr>
      <w:t>1</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CE79AC">
      <w:rPr>
        <w:rFonts w:ascii="Arial" w:hAnsi="Arial" w:cs="Arial"/>
        <w:bCs/>
        <w:noProof/>
      </w:rPr>
      <w:t>2</w:t>
    </w:r>
    <w:r>
      <w:rPr>
        <w:rFonts w:ascii="Arial" w:hAnsi="Arial" w:cs="Arial"/>
        <w:bCs/>
      </w:rPr>
      <w:fldChar w:fldCharType="end"/>
    </w:r>
  </w:p>
  <w:p w:rsidR="00A3294A" w:rsidRDefault="00A3294A">
    <w:pPr>
      <w:pStyle w:val="Zpat"/>
    </w:pPr>
  </w:p>
  <w:p w:rsidR="00A3294A" w:rsidRDefault="00A32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95" w:rsidRDefault="00673995">
      <w:r>
        <w:separator/>
      </w:r>
    </w:p>
  </w:footnote>
  <w:footnote w:type="continuationSeparator" w:id="0">
    <w:p w:rsidR="00673995" w:rsidRDefault="0067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30" w:rsidRDefault="00B57C30">
    <w:pPr>
      <w:pStyle w:val="Zhlav"/>
      <w:rPr>
        <w:rFonts w:ascii="Arial" w:hAnsi="Arial" w:cs="Arial"/>
      </w:rPr>
    </w:pPr>
    <w:r>
      <w:rPr>
        <w:rFonts w:ascii="Arial" w:hAnsi="Arial" w:cs="Arial"/>
      </w:rPr>
      <w:t>Úřad pro zastupování státu ve věcech majetkových</w:t>
    </w:r>
    <w:r>
      <w:rPr>
        <w:rFonts w:ascii="Arial" w:hAnsi="Arial" w:cs="Arial"/>
      </w:rPr>
      <w:tab/>
      <w:t>Příloha č. 8 MP č. 1/2017</w:t>
    </w:r>
  </w:p>
  <w:p w:rsidR="00B57C30" w:rsidRPr="00B57C30" w:rsidRDefault="00B57C30">
    <w:pPr>
      <w:pStyle w:val="Zhlav"/>
      <w:rPr>
        <w:rFonts w:ascii="Arial" w:hAnsi="Arial" w:cs="Arial"/>
      </w:rPr>
    </w:pPr>
    <w:r>
      <w:rPr>
        <w:rFonts w:ascii="Arial" w:hAnsi="Arial" w:cs="Arial"/>
      </w:rPr>
      <w:t>____________________________________________________________________</w:t>
    </w:r>
  </w:p>
  <w:p w:rsidR="00B57C30" w:rsidRDefault="00B57C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E7D1E"/>
    <w:multiLevelType w:val="hybridMultilevel"/>
    <w:tmpl w:val="3A2060D2"/>
    <w:lvl w:ilvl="0" w:tplc="D09ECD58">
      <w:start w:val="1"/>
      <w:numFmt w:val="decimal"/>
      <w:lvlText w:val="%1."/>
      <w:lvlJc w:val="left"/>
      <w:pPr>
        <w:ind w:left="720" w:hanging="360"/>
      </w:pPr>
      <w:rPr>
        <w:rFonts w:ascii="Arial" w:eastAsia="Calibri"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7E556848"/>
    <w:multiLevelType w:val="hybridMultilevel"/>
    <w:tmpl w:val="AFD2BBE6"/>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84F5C"/>
    <w:rsid w:val="000A39A7"/>
    <w:rsid w:val="000B5C6C"/>
    <w:rsid w:val="000D1437"/>
    <w:rsid w:val="000D22D1"/>
    <w:rsid w:val="001A1BA8"/>
    <w:rsid w:val="00213024"/>
    <w:rsid w:val="002826A9"/>
    <w:rsid w:val="00295D0D"/>
    <w:rsid w:val="002B7A34"/>
    <w:rsid w:val="00311656"/>
    <w:rsid w:val="003E6C1B"/>
    <w:rsid w:val="004377D5"/>
    <w:rsid w:val="00553017"/>
    <w:rsid w:val="005E0AA4"/>
    <w:rsid w:val="0061445A"/>
    <w:rsid w:val="00673995"/>
    <w:rsid w:val="00740F0E"/>
    <w:rsid w:val="007558B0"/>
    <w:rsid w:val="007A2076"/>
    <w:rsid w:val="007E2ACA"/>
    <w:rsid w:val="00836791"/>
    <w:rsid w:val="00976B4A"/>
    <w:rsid w:val="00997EA9"/>
    <w:rsid w:val="00A3294A"/>
    <w:rsid w:val="00A92E2B"/>
    <w:rsid w:val="00AA16F4"/>
    <w:rsid w:val="00AB5184"/>
    <w:rsid w:val="00B028AA"/>
    <w:rsid w:val="00B57C30"/>
    <w:rsid w:val="00B61AB4"/>
    <w:rsid w:val="00B72CD2"/>
    <w:rsid w:val="00BA4DA1"/>
    <w:rsid w:val="00C07BFC"/>
    <w:rsid w:val="00C47CA2"/>
    <w:rsid w:val="00CA6438"/>
    <w:rsid w:val="00CE3BB1"/>
    <w:rsid w:val="00CE79AC"/>
    <w:rsid w:val="00CF263A"/>
    <w:rsid w:val="00D90B34"/>
    <w:rsid w:val="00D96274"/>
    <w:rsid w:val="00E46020"/>
    <w:rsid w:val="00E928F4"/>
    <w:rsid w:val="00EE1081"/>
    <w:rsid w:val="00EF149B"/>
    <w:rsid w:val="00F85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0A74E5-C015-48C4-822C-452F8337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Odstavecseseznamem">
    <w:name w:val="List Paragraph"/>
    <w:basedOn w:val="Normln"/>
    <w:uiPriority w:val="34"/>
    <w:qFormat/>
    <w:rsid w:val="00B57C30"/>
    <w:pPr>
      <w:spacing w:after="200" w:line="276" w:lineRule="auto"/>
      <w:ind w:left="720"/>
    </w:pPr>
    <w:rPr>
      <w:rFonts w:ascii="Calibri" w:eastAsia="Calibri" w:hAnsi="Calibri"/>
      <w:sz w:val="22"/>
      <w:szCs w:val="22"/>
    </w:rPr>
  </w:style>
  <w:style w:type="character" w:customStyle="1" w:styleId="ZhlavChar">
    <w:name w:val="Záhlaví Char"/>
    <w:basedOn w:val="Standardnpsmoodstavce"/>
    <w:link w:val="Zhlav"/>
    <w:rsid w:val="00B57C30"/>
    <w:rPr>
      <w:sz w:val="24"/>
      <w:szCs w:val="24"/>
    </w:rPr>
  </w:style>
  <w:style w:type="paragraph" w:styleId="Textbubliny">
    <w:name w:val="Balloon Text"/>
    <w:basedOn w:val="Normln"/>
    <w:link w:val="TextbublinyChar"/>
    <w:rsid w:val="00B57C30"/>
    <w:rPr>
      <w:rFonts w:ascii="Tahoma" w:hAnsi="Tahoma" w:cs="Tahoma"/>
      <w:sz w:val="16"/>
      <w:szCs w:val="16"/>
    </w:rPr>
  </w:style>
  <w:style w:type="character" w:customStyle="1" w:styleId="TextbublinyChar">
    <w:name w:val="Text bubliny Char"/>
    <w:basedOn w:val="Standardnpsmoodstavce"/>
    <w:link w:val="Textbubliny"/>
    <w:rsid w:val="00B57C30"/>
    <w:rPr>
      <w:rFonts w:ascii="Tahoma" w:hAnsi="Tahoma" w:cs="Tahoma"/>
      <w:sz w:val="16"/>
      <w:szCs w:val="16"/>
    </w:rPr>
  </w:style>
  <w:style w:type="character" w:customStyle="1" w:styleId="ZpatChar">
    <w:name w:val="Zápatí Char"/>
    <w:basedOn w:val="Standardnpsmoodstavce"/>
    <w:link w:val="Zpat"/>
    <w:uiPriority w:val="99"/>
    <w:rsid w:val="00A32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7838">
      <w:bodyDiv w:val="1"/>
      <w:marLeft w:val="0"/>
      <w:marRight w:val="0"/>
      <w:marTop w:val="0"/>
      <w:marBottom w:val="0"/>
      <w:divBdr>
        <w:top w:val="none" w:sz="0" w:space="0" w:color="auto"/>
        <w:left w:val="none" w:sz="0" w:space="0" w:color="auto"/>
        <w:bottom w:val="none" w:sz="0" w:space="0" w:color="auto"/>
        <w:right w:val="none" w:sz="0" w:space="0" w:color="auto"/>
      </w:divBdr>
    </w:div>
    <w:div w:id="1265503169">
      <w:bodyDiv w:val="1"/>
      <w:marLeft w:val="0"/>
      <w:marRight w:val="0"/>
      <w:marTop w:val="0"/>
      <w:marBottom w:val="0"/>
      <w:divBdr>
        <w:top w:val="none" w:sz="0" w:space="0" w:color="auto"/>
        <w:left w:val="none" w:sz="0" w:space="0" w:color="auto"/>
        <w:bottom w:val="none" w:sz="0" w:space="0" w:color="auto"/>
        <w:right w:val="none" w:sz="0" w:space="0" w:color="auto"/>
      </w:divBdr>
    </w:div>
    <w:div w:id="13501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4487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Jirgesová</dc:creator>
  <cp:lastModifiedBy>User</cp:lastModifiedBy>
  <cp:revision>2</cp:revision>
  <cp:lastPrinted>2017-03-28T07:16:00Z</cp:lastPrinted>
  <dcterms:created xsi:type="dcterms:W3CDTF">2017-04-12T10:08:00Z</dcterms:created>
  <dcterms:modified xsi:type="dcterms:W3CDTF">2017-04-12T10:08:00Z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1096/HUO/2017-HUOM</vt:lpwstr>
  </property>
  <property fmtid="{D5CDD505-2E9C-101B-9397-08002B2CF9AE}" pid="4" name="BARCODE_STOP">
    <vt:lpwstr>@œ</vt:lpwstr>
  </property>
  <property fmtid="{D5CDD505-2E9C-101B-9397-08002B2CF9AE}" pid="5" name="OD_Cj">
    <vt:lpwstr/>
  </property>
  <property fmtid="{D5CDD505-2E9C-101B-9397-08002B2CF9AE}" pid="6" name="Vlastnik">
    <vt:lpwstr>Jirgesová Regina</vt:lpwstr>
  </property>
  <property fmtid="{D5CDD505-2E9C-101B-9397-08002B2CF9AE}" pid="7" name="Telefon">
    <vt:lpwstr>+420 465 385 533</vt:lpwstr>
  </property>
  <property fmtid="{D5CDD505-2E9C-101B-9397-08002B2CF9AE}" pid="8" name="Fax">
    <vt:lpwstr>5135</vt:lpwstr>
  </property>
  <property fmtid="{D5CDD505-2E9C-101B-9397-08002B2CF9AE}" pid="9" name="Email">
    <vt:lpwstr>Regina.Jirgesova@uzsvm.cz</vt:lpwstr>
  </property>
  <property fmtid="{D5CDD505-2E9C-101B-9397-08002B2CF9AE}" pid="10" name="UtvarTxt">
    <vt:lpwstr>oddělení Hospodaření s majetkem</vt:lpwstr>
  </property>
  <property fmtid="{D5CDD505-2E9C-101B-9397-08002B2CF9AE}" pid="11" name="UtvarKod">
    <vt:lpwstr>5135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č. 230/2016 - 5. kolo</vt:lpwstr>
  </property>
  <property fmtid="{D5CDD505-2E9C-101B-9397-08002B2CF9AE}" pid="21" name="AdresaUZSVM">
    <vt:lpwstr>Rašínovo nábřeží 390/42, 128 00 Nové Město,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80597832</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Odloučené pracoviště Ústí n. Orlicí</vt:lpwstr>
  </property>
  <property fmtid="{D5CDD505-2E9C-101B-9397-08002B2CF9AE}" pid="29" name="AdresaOdbor">
    <vt:lpwstr>Smetanova 43/1, 562 16 Ústí nad Orlicí</vt:lpwstr>
  </property>
  <property fmtid="{D5CDD505-2E9C-101B-9397-08002B2CF9AE}" pid="30" name="VytvorenDne">
    <vt:lpwstr>10.02.2017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µ#1096/HUO/2017-HUOM@q¸</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